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ind w:left="0" w:right="0" w:firstLine="0"/>
        <w:spacing w:before="0" w:after="12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6"/>
        </w:rPr>
        <w:t xml:space="preserve">Политика в отношении обработки персональных данных</w:t>
      </w:r>
      <w:r/>
    </w:p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1. Общие положения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 обеспечению безопасности персональных данных, предпринимаемые </w:t>
      </w:r>
      <w:r>
        <w:rPr>
          <w:rFonts w:ascii="Liberation Sans" w:hAnsi="Liberation Sans" w:eastAsia="Liberation Sans" w:cs="Liberation Sans"/>
          <w:color w:val="212529"/>
          <w:sz w:val="24"/>
          <w:highlight w:val="none"/>
        </w:rPr>
        <w:t xml:space="preserve">ООО Вента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 (далее — Оператор).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>
        <w:rPr>
          <w:rFonts w:ascii="Liberation Sans" w:hAnsi="Liberation Sans" w:eastAsia="Liberation Sans" w:cs="Liberation Sans"/>
          <w:color w:val="212529"/>
          <w:sz w:val="24"/>
          <w:highlight w:val="none"/>
        </w:rPr>
        <w:t xml:space="preserve">https://akvilon-verba.ru/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.</w:t>
      </w:r>
      <w:r/>
    </w:p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2. Основные понятия, используемые в Политике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2.1. Автоматизированная обработка персональных данных — обработка персональных данных с помощью средств вычислительной техники.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>
        <w:rPr>
          <w:rFonts w:ascii="Liberation Sans" w:hAnsi="Liberation Sans" w:eastAsia="Liberation Sans" w:cs="Liberation Sans"/>
          <w:color w:val="212529"/>
          <w:sz w:val="24"/>
          <w:highlight w:val="none"/>
        </w:rPr>
        <w:t xml:space="preserve">https://akvilon-verba.ru/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ных, состав персональных данных, подлежащих обработке, действия (операции), совершаемые с персональными данными.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2.8. Персональные данные — любая информация, относящаяся прямо или косвенно к определенному или определяемому Пользователю веб-сайта </w:t>
      </w:r>
      <w:r>
        <w:rPr>
          <w:rFonts w:ascii="Liberation Sans" w:hAnsi="Liberation Sans" w:eastAsia="Liberation Sans" w:cs="Liberation Sans"/>
          <w:color w:val="212529"/>
          <w:sz w:val="24"/>
          <w:highlight w:val="none"/>
        </w:rPr>
        <w:t xml:space="preserve">https://akvilon-verba.ru/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2.10. Пользователь — любой посетитель веб-сайта </w:t>
      </w:r>
      <w:r>
        <w:rPr>
          <w:rFonts w:ascii="Liberation Sans" w:hAnsi="Liberation Sans" w:eastAsia="Liberation Sans" w:cs="Liberation Sans"/>
          <w:color w:val="212529"/>
          <w:sz w:val="24"/>
          <w:highlight w:val="none"/>
        </w:rPr>
        <w:t xml:space="preserve">https://akvilon-verba.ru/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аются материальные носители персональных данных.</w:t>
      </w:r>
      <w:r/>
    </w:p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3. Основные права и обязанности Оператора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3.1. Оператор имеет право: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получать от субъекта персональных данных достоверные информацию и/или документы, содержащие персональные данные;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кта персональных данных при наличии оснований, указанных в Законе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аконом о персональных данных или другими федеральными законами.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3.2. Оператор обязан: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предоставлять субъекту персональных данных по его просьбе информацию, касающуюся обработки его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организовывать обработку персональных данных в порядке, установленном действующим законодательством РФ;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публиковать или иным образом обеспечивать неограниченный доступ к настоящей Политике в отношении обработки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неправомерных действий в отношении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исполнять иные обязанности, предусмотренные Законом о персональных данных.</w:t>
      </w:r>
      <w:r/>
    </w:p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4. Основные права и обязанности субъектов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4.1. Субъекты персональных данных имеют право: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акже принимать предусмотренные законом меры по защите своих прав;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выдвигать условие предварительного согласия при обработке персональных данных в целях продвижения на рынке товаров, работ и услуг;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на отзыв согласия на обработку персональных данных, а также, на направление требования о прекращении обработки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на осуществление иных прав, предусмотренных законодательством РФ.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4.2. Субъекты персональных данных обязаны: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предоставлять Оператору достоверные данные о себе;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— сообщать Оператору об уточнении (обновлении, изменении) своих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  <w:r/>
    </w:p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5. Принципы обработки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5.1. Обработка персональных данных осуществляется на законной и справедливой основе.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5.4. Обработке подлежат только персональные данные, которые отвечают целям их обработки.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тие по удалению или уточнению неполных или неточных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ром, стороной которого, выгодоприобретателем или поручителем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этих целей, если иное не предусмотрено федеральным законом.</w:t>
      </w:r>
      <w:r/>
    </w:p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6. Цели обработки персональных данных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76"/>
        <w:gridCol w:w="7578"/>
      </w:tblGrid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77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b/>
                <w:color w:val="212529"/>
              </w:rPr>
              <w:t xml:space="preserve">Цель обработки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78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color w:val="212529"/>
                <w:sz w:val="24"/>
                <w:highlight w:val="none"/>
              </w:rPr>
              <w:t xml:space="preserve">предоставление доступа Пользователю к сервисам, информации и/или материалам, содержащимся на веб-сайте</w:t>
            </w:r>
            <w:r/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77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b/>
                <w:color w:val="212529"/>
              </w:rPr>
              <w:t xml:space="preserve">Персональные данные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78" w:type="dxa"/>
            <w:vAlign w:val="top"/>
            <w:textDirection w:val="lrTb"/>
            <w:noWrap w:val="false"/>
          </w:tcPr>
          <w:p>
            <w:pPr>
              <w:pStyle w:val="834"/>
              <w:numPr>
                <w:ilvl w:val="0"/>
                <w:numId w:val="1"/>
              </w:numPr>
              <w:ind w:right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212529"/>
                <w:sz w:val="24"/>
                <w:highlight w:val="none"/>
              </w:rPr>
              <w:t xml:space="preserve">фамилия, имя, отчество</w:t>
            </w:r>
            <w:r/>
          </w:p>
          <w:p>
            <w:pPr>
              <w:pStyle w:val="834"/>
              <w:numPr>
                <w:ilvl w:val="0"/>
                <w:numId w:val="1"/>
              </w:numPr>
              <w:ind w:right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212529"/>
                <w:sz w:val="24"/>
                <w:highlight w:val="none"/>
              </w:rPr>
              <w:t xml:space="preserve">электронный адрес</w:t>
            </w:r>
            <w:r/>
          </w:p>
          <w:p>
            <w:pPr>
              <w:pStyle w:val="834"/>
              <w:numPr>
                <w:ilvl w:val="0"/>
                <w:numId w:val="1"/>
              </w:numPr>
              <w:ind w:right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212529"/>
                <w:sz w:val="24"/>
                <w:highlight w:val="none"/>
              </w:rPr>
              <w:t xml:space="preserve">номера телефонов</w:t>
            </w:r>
            <w:r/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77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b/>
                <w:color w:val="212529"/>
              </w:rPr>
              <w:t xml:space="preserve">Правовые основания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78" w:type="dxa"/>
            <w:vAlign w:val="top"/>
            <w:textDirection w:val="lrTb"/>
            <w:noWrap w:val="false"/>
          </w:tcPr>
          <w:p>
            <w:pPr>
              <w:pStyle w:val="834"/>
              <w:numPr>
                <w:ilvl w:val="0"/>
                <w:numId w:val="2"/>
              </w:numPr>
              <w:ind w:right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212529"/>
                <w:sz w:val="24"/>
                <w:highlight w:val="none"/>
              </w:rPr>
              <w:t xml:space="preserve">уставные (учредительные) документы Оператора</w:t>
            </w:r>
            <w:r/>
          </w:p>
        </w:tc>
      </w:tr>
      <w:tr>
        <w:tblPrEx/>
        <w:trPr/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1776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Liberation Sans" w:hAnsi="Liberation Sans" w:eastAsia="Liberation Sans" w:cs="Liberation Sans"/>
                <w:b/>
                <w:color w:val="212529"/>
              </w:rPr>
              <w:t xml:space="preserve">Виды обработки персональных данных</w:t>
            </w:r>
            <w:r/>
          </w:p>
        </w:tc>
        <w:tc>
          <w:tcPr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tcMar>
              <w:left w:w="180" w:type="dxa"/>
              <w:top w:w="120" w:type="dxa"/>
              <w:right w:w="180" w:type="dxa"/>
              <w:bottom w:w="120" w:type="dxa"/>
            </w:tcMar>
            <w:tcW w:w="7578" w:type="dxa"/>
            <w:vAlign w:val="top"/>
            <w:textDirection w:val="lrTb"/>
            <w:noWrap w:val="false"/>
          </w:tcPr>
          <w:p>
            <w:pPr>
              <w:pStyle w:val="834"/>
              <w:numPr>
                <w:ilvl w:val="0"/>
                <w:numId w:val="3"/>
              </w:numPr>
              <w:ind w:right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212529"/>
                <w:sz w:val="24"/>
                <w:highlight w:val="none"/>
              </w:rPr>
              <w:t xml:space="preserve">Сбор, запись, систематизация, накопление, хранение, уничтожение и обезличивание персональных данных</w:t>
            </w:r>
            <w:r/>
          </w:p>
        </w:tc>
      </w:tr>
    </w:tbl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7. Условия обработки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7.1. Обработка персональных данных осуществляется с согласия субъекта персональных данных на обработку его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ей.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7.4. Обработка персональных данных необходима для исполнения договора, стороной которого либо выгодоприобретателем или поручителем по которому является субъект персональных данных, а также для заключения договора по инициативе субъекта персональных данных 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или договора, по которому субъект персональных данных будет являться выгодоприобретателем или поручителем.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  <w:r/>
    </w:p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8. Порядок сбора, хранения, передачи и других видов обработки персональных данных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 передачу данных третьему лицу для исполнения обязательств по гражданско-правовому договору.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>
        <w:rPr>
          <w:rFonts w:ascii="Liberation Sans" w:hAnsi="Liberation Sans" w:eastAsia="Liberation Sans" w:cs="Liberation Sans"/>
          <w:color w:val="212529"/>
          <w:sz w:val="24"/>
          <w:highlight w:val="none"/>
        </w:rPr>
        <w:t xml:space="preserve">marketing@group-akvilon.ru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 с пометкой «Актуализация персональных данных».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  <w:br/>
        <w:t xml:space="preserve">Пользователь может в любой момент отозвать свое согласие на об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работку персональных данных, направив Оператору уведомление посредством электронной почты на электронный адрес Оператора </w:t>
      </w:r>
      <w:r>
        <w:rPr>
          <w:rFonts w:ascii="Liberation Sans" w:hAnsi="Liberation Sans" w:eastAsia="Liberation Sans" w:cs="Liberation Sans"/>
          <w:color w:val="212529"/>
          <w:sz w:val="24"/>
          <w:highlight w:val="none"/>
        </w:rPr>
        <w:t xml:space="preserve">marketing@group-akvilon.ru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 с пометкой «Отзыв согласия на обработку персональных данных».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 персональных данных в государственных, общественных и иных публичных интересах, определенных законодательством РФ.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8.7. Оператор при обработке персональных данных обеспечивает конфиденциальность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 договором, стороной которого, выгодоприобретателем или поручителем по которому является субъект персональных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 обработки персональных данных, а также выявление неправомерной обработки персональных данных.</w:t>
      </w:r>
      <w:r/>
    </w:p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9. Перечень действий, производимых Оператором с полученными персональными данными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х данных.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  <w:r/>
    </w:p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10. Трансграничная передача персональных данных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 (такое уведомление направляется отдельно от уведомления о намерении осуществлять обработку персональных данных).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ния.</w:t>
      </w:r>
      <w:r/>
    </w:p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11. Конфиденциальность персональных данных</w:t>
      </w:r>
      <w:r/>
    </w:p>
    <w:p>
      <w:pPr>
        <w:ind w:left="0" w:right="0" w:firstLine="0"/>
        <w:spacing w:after="3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  <w:r/>
    </w:p>
    <w:p>
      <w:pPr>
        <w:pStyle w:val="662"/>
        <w:ind w:left="0" w:right="0" w:firstLine="0"/>
        <w:spacing w:before="0" w:after="360" w:line="62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212529"/>
          <w:sz w:val="30"/>
        </w:rPr>
        <w:t xml:space="preserve">12. Заключительные положения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>
        <w:rPr>
          <w:rFonts w:ascii="Liberation Sans" w:hAnsi="Liberation Sans" w:eastAsia="Liberation Sans" w:cs="Liberation Sans"/>
          <w:color w:val="212529"/>
          <w:sz w:val="24"/>
          <w:highlight w:val="none"/>
        </w:rPr>
        <w:t xml:space="preserve">marketing@group-akvilon.ru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212529"/>
          <w:sz w:val="24"/>
        </w:rPr>
        <w:t xml:space="preserve">12.3. Актуальная версия Политики в свободном доступе расположена в сети Интернет по адресу </w:t>
      </w:r>
      <w:r>
        <w:rPr>
          <w:rFonts w:ascii="Liberation Sans" w:hAnsi="Liberation Sans" w:eastAsia="Liberation Sans" w:cs="Liberation Sans"/>
          <w:color w:val="212529"/>
          <w:sz w:val="24"/>
          <w:highlight w:val="none"/>
        </w:rPr>
        <w:t xml:space="preserve">https://akvilon-verba.ru/</w:t>
      </w:r>
      <w:r>
        <w:rPr>
          <w:rFonts w:ascii="Liberation Sans" w:hAnsi="Liberation Sans" w:eastAsia="Liberation Sans" w:cs="Liberation Sans"/>
          <w:color w:val="212529"/>
          <w:sz w:val="24"/>
        </w:rPr>
        <w:t xml:space="preserve">.</w:t>
      </w:r>
      <w:r/>
    </w:p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  <w:highlight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Аквилон Аквилонов</cp:lastModifiedBy>
  <cp:revision>2</cp:revision>
  <dcterms:modified xsi:type="dcterms:W3CDTF">2024-12-03T08:24:24Z</dcterms:modified>
</cp:coreProperties>
</file>